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028231" w14:textId="77777777" w:rsidR="00ED2DE2" w:rsidRDefault="00574B28" w:rsidP="00574B28">
      <w:pPr>
        <w:jc w:val="center"/>
        <w:rPr>
          <w:rFonts w:ascii="David" w:hAnsi="David" w:cs="David"/>
          <w:b/>
          <w:bCs/>
          <w:sz w:val="22"/>
          <w:szCs w:val="22"/>
          <w:rtl/>
        </w:rPr>
      </w:pPr>
      <w:r>
        <w:rPr>
          <w:rFonts w:ascii="David" w:hAnsi="David" w:cs="David" w:hint="cs"/>
          <w:b/>
          <w:bCs/>
          <w:sz w:val="22"/>
          <w:szCs w:val="22"/>
          <w:rtl/>
        </w:rPr>
        <w:t xml:space="preserve">מענה לשאלות הבהרה </w:t>
      </w:r>
    </w:p>
    <w:p w14:paraId="113A11CE" w14:textId="3B495C21" w:rsidR="00574B28" w:rsidRDefault="00574B28" w:rsidP="00574B28">
      <w:pPr>
        <w:jc w:val="center"/>
        <w:rPr>
          <w:rFonts w:ascii="David" w:hAnsi="David" w:cs="David"/>
          <w:b/>
          <w:bCs/>
          <w:sz w:val="22"/>
          <w:szCs w:val="22"/>
          <w:rtl/>
        </w:rPr>
      </w:pPr>
      <w:r w:rsidRPr="00574B28">
        <w:rPr>
          <w:rFonts w:ascii="David" w:hAnsi="David" w:cs="David"/>
          <w:b/>
          <w:bCs/>
          <w:sz w:val="22"/>
          <w:szCs w:val="22"/>
          <w:rtl/>
        </w:rPr>
        <w:t xml:space="preserve">מכרז פומבי 72.18 למתן שרותי פוליגרף </w:t>
      </w:r>
      <w:r>
        <w:rPr>
          <w:rFonts w:ascii="David" w:hAnsi="David" w:cs="David"/>
          <w:b/>
          <w:bCs/>
          <w:sz w:val="22"/>
          <w:szCs w:val="22"/>
          <w:rtl/>
        </w:rPr>
        <w:t xml:space="preserve">חקירתי למחלקה לחקירות שוטרים </w:t>
      </w:r>
    </w:p>
    <w:p w14:paraId="08603F06" w14:textId="77777777" w:rsidR="00ED2DE2" w:rsidRDefault="00ED2DE2" w:rsidP="00574B28">
      <w:pPr>
        <w:jc w:val="center"/>
        <w:rPr>
          <w:rFonts w:ascii="David" w:hAnsi="David" w:cs="David"/>
          <w:b/>
          <w:bCs/>
          <w:sz w:val="22"/>
          <w:szCs w:val="22"/>
          <w:rtl/>
        </w:rPr>
      </w:pPr>
    </w:p>
    <w:p w14:paraId="6F5E8545" w14:textId="60904685" w:rsidR="00ED2DE2" w:rsidRPr="00317FDA" w:rsidRDefault="00ED2DE2" w:rsidP="00ED2DE2">
      <w:pPr>
        <w:pStyle w:val="a4"/>
        <w:numPr>
          <w:ilvl w:val="0"/>
          <w:numId w:val="2"/>
        </w:numPr>
        <w:rPr>
          <w:rFonts w:ascii="David" w:hAnsi="David" w:cs="David"/>
        </w:rPr>
      </w:pPr>
      <w:r w:rsidRPr="00317FDA">
        <w:rPr>
          <w:rFonts w:ascii="David" w:hAnsi="David" w:cs="David" w:hint="cs"/>
          <w:rtl/>
        </w:rPr>
        <w:t>להלן תשובות המשרד לשאלות ההבהרה שהתקבלו במסגרת המכרז שבנדון.</w:t>
      </w:r>
    </w:p>
    <w:p w14:paraId="3EEADEA9" w14:textId="0EB95A60" w:rsidR="00ED2DE2" w:rsidRPr="00317FDA" w:rsidRDefault="00ED2DE2" w:rsidP="0006118C">
      <w:pPr>
        <w:pStyle w:val="a4"/>
        <w:numPr>
          <w:ilvl w:val="0"/>
          <w:numId w:val="2"/>
        </w:numPr>
        <w:rPr>
          <w:rFonts w:ascii="David" w:hAnsi="David" w:cs="David"/>
        </w:rPr>
      </w:pPr>
      <w:r w:rsidRPr="00317FDA">
        <w:rPr>
          <w:rFonts w:ascii="David" w:hAnsi="David" w:cs="David" w:hint="cs"/>
          <w:rtl/>
        </w:rPr>
        <w:t xml:space="preserve">כמו כן, </w:t>
      </w:r>
      <w:r w:rsidR="0006118C">
        <w:rPr>
          <w:rFonts w:ascii="David" w:hAnsi="David" w:cs="David" w:hint="cs"/>
          <w:rtl/>
        </w:rPr>
        <w:t>מועדי המכרז נשארו ללא שינוי.</w:t>
      </w:r>
      <w:bookmarkStart w:id="0" w:name="_GoBack"/>
      <w:bookmarkEnd w:id="0"/>
    </w:p>
    <w:p w14:paraId="2CEB545E" w14:textId="77777777" w:rsidR="00317FDA" w:rsidRPr="00317FDA" w:rsidRDefault="00317FDA" w:rsidP="00317FDA">
      <w:pPr>
        <w:pStyle w:val="NumberList0"/>
        <w:numPr>
          <w:ilvl w:val="0"/>
          <w:numId w:val="0"/>
        </w:numPr>
        <w:ind w:left="357" w:hanging="357"/>
        <w:rPr>
          <w:sz w:val="22"/>
          <w:szCs w:val="22"/>
          <w:rtl/>
        </w:rPr>
      </w:pPr>
      <w:r w:rsidRPr="00317FDA">
        <w:rPr>
          <w:rFonts w:hint="cs"/>
          <w:sz w:val="22"/>
          <w:szCs w:val="22"/>
          <w:rtl/>
        </w:rPr>
        <w:t>את התשובות לשאלות ההבהרה ופרטים נוספים ניתן יהיה לקבל לכשיתפרסמו באתר האינטרנט</w:t>
      </w:r>
    </w:p>
    <w:p w14:paraId="5B10623A" w14:textId="77777777" w:rsidR="00317FDA" w:rsidRPr="00317FDA" w:rsidRDefault="00317FDA" w:rsidP="00317FDA">
      <w:pPr>
        <w:pStyle w:val="NumberList0"/>
        <w:numPr>
          <w:ilvl w:val="0"/>
          <w:numId w:val="0"/>
        </w:numPr>
        <w:ind w:left="357" w:hanging="357"/>
        <w:rPr>
          <w:sz w:val="22"/>
          <w:szCs w:val="22"/>
          <w:rtl/>
        </w:rPr>
      </w:pPr>
      <w:r w:rsidRPr="00317FDA">
        <w:rPr>
          <w:rFonts w:hint="cs"/>
          <w:sz w:val="22"/>
          <w:szCs w:val="22"/>
          <w:rtl/>
        </w:rPr>
        <w:t>של המשרד בכתובת:</w:t>
      </w:r>
    </w:p>
    <w:p w14:paraId="5EF45F6E" w14:textId="77777777" w:rsidR="00317FDA" w:rsidRPr="00F77781" w:rsidRDefault="00317FDA" w:rsidP="00317FDA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14:paraId="2E8853F1" w14:textId="5FFDE77C" w:rsidR="00317FDA" w:rsidRDefault="00317FDA" w:rsidP="00317FDA">
      <w:pPr>
        <w:rPr>
          <w:rFonts w:hAnsi="David" w:cs="David"/>
        </w:rPr>
      </w:pPr>
      <w:r>
        <w:rPr>
          <w:lang w:eastAsia="he-IL"/>
        </w:rPr>
        <w:fldChar w:fldCharType="end"/>
      </w:r>
    </w:p>
    <w:p w14:paraId="7BC9D3C4" w14:textId="77777777" w:rsidR="00574B28" w:rsidRPr="00115B08" w:rsidRDefault="00574B28" w:rsidP="00574B28">
      <w:pPr>
        <w:rPr>
          <w:rFonts w:ascii="David" w:hAnsi="David" w:cs="David"/>
          <w:sz w:val="22"/>
          <w:szCs w:val="22"/>
          <w:rtl/>
        </w:rPr>
      </w:pPr>
    </w:p>
    <w:p w14:paraId="08CDEE6F" w14:textId="77777777" w:rsidR="00574B28" w:rsidRPr="00115B08" w:rsidRDefault="00574B28" w:rsidP="00574B28">
      <w:pPr>
        <w:rPr>
          <w:rFonts w:ascii="David" w:hAnsi="David" w:cs="David"/>
          <w:sz w:val="22"/>
          <w:szCs w:val="22"/>
          <w:rtl/>
        </w:rPr>
      </w:pPr>
    </w:p>
    <w:tbl>
      <w:tblPr>
        <w:tblStyle w:val="a3"/>
        <w:bidiVisual/>
        <w:tblW w:w="5198" w:type="pct"/>
        <w:tblLook w:val="04A0" w:firstRow="1" w:lastRow="0" w:firstColumn="1" w:lastColumn="0" w:noHBand="0" w:noVBand="1"/>
      </w:tblPr>
      <w:tblGrid>
        <w:gridCol w:w="846"/>
        <w:gridCol w:w="1091"/>
        <w:gridCol w:w="1091"/>
        <w:gridCol w:w="2691"/>
        <w:gridCol w:w="3140"/>
      </w:tblGrid>
      <w:tr w:rsidR="00574B28" w:rsidRPr="00115B08" w14:paraId="0FA439E3" w14:textId="77777777" w:rsidTr="00317FDA">
        <w:trPr>
          <w:cantSplit/>
          <w:tblHeader/>
        </w:trPr>
        <w:tc>
          <w:tcPr>
            <w:tcW w:w="477" w:type="pct"/>
            <w:shd w:val="clear" w:color="auto" w:fill="BDD6EE" w:themeFill="accent1" w:themeFillTint="66"/>
            <w:vAlign w:val="center"/>
          </w:tcPr>
          <w:p w14:paraId="5F40BEE9" w14:textId="77777777" w:rsidR="00574B28" w:rsidRPr="00115B08" w:rsidRDefault="00574B28" w:rsidP="00C66370">
            <w:pPr>
              <w:ind w:right="13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15B08">
              <w:rPr>
                <w:rFonts w:ascii="David" w:hAnsi="David" w:cs="David"/>
                <w:sz w:val="22"/>
                <w:szCs w:val="22"/>
                <w:rtl/>
              </w:rPr>
              <w:t>מספר שאלה</w:t>
            </w:r>
          </w:p>
        </w:tc>
        <w:tc>
          <w:tcPr>
            <w:tcW w:w="616" w:type="pct"/>
            <w:shd w:val="clear" w:color="auto" w:fill="BDD6EE" w:themeFill="accent1" w:themeFillTint="66"/>
            <w:vAlign w:val="center"/>
          </w:tcPr>
          <w:p w14:paraId="51E8DF63" w14:textId="77777777" w:rsidR="00574B28" w:rsidRPr="00115B08" w:rsidRDefault="00574B28" w:rsidP="00C66370">
            <w:pPr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15B08">
              <w:rPr>
                <w:rFonts w:ascii="David" w:hAnsi="David" w:cs="David"/>
                <w:sz w:val="22"/>
                <w:szCs w:val="22"/>
                <w:rtl/>
              </w:rPr>
              <w:t>עמוד במכרז אליו מתייחסת השאלה</w:t>
            </w:r>
          </w:p>
        </w:tc>
        <w:tc>
          <w:tcPr>
            <w:tcW w:w="616" w:type="pct"/>
            <w:shd w:val="clear" w:color="auto" w:fill="BDD6EE" w:themeFill="accent1" w:themeFillTint="66"/>
            <w:vAlign w:val="center"/>
          </w:tcPr>
          <w:p w14:paraId="6DCEC4A2" w14:textId="77777777" w:rsidR="00574B28" w:rsidRPr="00115B08" w:rsidRDefault="00574B28" w:rsidP="00C66370">
            <w:pPr>
              <w:ind w:left="3" w:hanging="3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15B08">
              <w:rPr>
                <w:rFonts w:ascii="David" w:hAnsi="David" w:cs="David"/>
                <w:sz w:val="22"/>
                <w:szCs w:val="22"/>
                <w:rtl/>
              </w:rPr>
              <w:t>סעיף במכרז אליו מתייחסת השאלה</w:t>
            </w:r>
          </w:p>
        </w:tc>
        <w:tc>
          <w:tcPr>
            <w:tcW w:w="1519" w:type="pct"/>
            <w:shd w:val="clear" w:color="auto" w:fill="BDD6EE" w:themeFill="accent1" w:themeFillTint="66"/>
            <w:vAlign w:val="center"/>
          </w:tcPr>
          <w:p w14:paraId="305A7BBB" w14:textId="77777777" w:rsidR="00574B28" w:rsidRPr="00115B08" w:rsidRDefault="00574B28" w:rsidP="00C66370">
            <w:pPr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15B08">
              <w:rPr>
                <w:rFonts w:ascii="David" w:hAnsi="David" w:cs="David"/>
                <w:sz w:val="22"/>
                <w:szCs w:val="22"/>
                <w:rtl/>
              </w:rPr>
              <w:t>נוסח השאלה</w:t>
            </w:r>
          </w:p>
        </w:tc>
        <w:tc>
          <w:tcPr>
            <w:tcW w:w="1772" w:type="pct"/>
            <w:shd w:val="clear" w:color="auto" w:fill="BDD6EE" w:themeFill="accent1" w:themeFillTint="66"/>
            <w:vAlign w:val="center"/>
          </w:tcPr>
          <w:p w14:paraId="1A497899" w14:textId="77777777" w:rsidR="00574B28" w:rsidRPr="00F413CA" w:rsidRDefault="00574B28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 w:rsidRPr="00F413CA"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תשובה</w:t>
            </w:r>
          </w:p>
        </w:tc>
      </w:tr>
      <w:tr w:rsidR="00574B28" w:rsidRPr="00115B08" w14:paraId="7B7D3AFD" w14:textId="77777777" w:rsidTr="00317FDA">
        <w:trPr>
          <w:cantSplit/>
        </w:trPr>
        <w:tc>
          <w:tcPr>
            <w:tcW w:w="477" w:type="pct"/>
            <w:vAlign w:val="center"/>
          </w:tcPr>
          <w:p w14:paraId="2A4D64B3" w14:textId="77777777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761CF972" w14:textId="77777777" w:rsidR="00574B28" w:rsidRPr="00115B0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10</w:t>
            </w:r>
          </w:p>
        </w:tc>
        <w:tc>
          <w:tcPr>
            <w:tcW w:w="616" w:type="pct"/>
            <w:vAlign w:val="center"/>
          </w:tcPr>
          <w:p w14:paraId="509A831F" w14:textId="77777777" w:rsidR="00574B28" w:rsidRPr="00115B0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9</w:t>
            </w:r>
          </w:p>
        </w:tc>
        <w:tc>
          <w:tcPr>
            <w:tcW w:w="1519" w:type="pct"/>
            <w:vAlign w:val="center"/>
          </w:tcPr>
          <w:p w14:paraId="52A52E14" w14:textId="77777777" w:rsidR="00574B28" w:rsidRP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>פורטל הספקים חושף את מידע הבדיקה לגורמים חוץ מערכתיים, בנוסף יש עלות להשתמש בו, החשבוניות עבור הפוליגרף יוצאות אחת לחודש כך שיש 12 חשבוניות השנה לכל היותר.</w:t>
            </w:r>
          </w:p>
          <w:p w14:paraId="25E58BBC" w14:textId="77777777" w:rsidR="00574B28" w:rsidRPr="00115B0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>מבקש לבדוק האם ניתן לפטור אותנו מהשימוש בפורטל.</w:t>
            </w:r>
          </w:p>
        </w:tc>
        <w:tc>
          <w:tcPr>
            <w:tcW w:w="1772" w:type="pct"/>
          </w:tcPr>
          <w:p w14:paraId="465329A3" w14:textId="77777777" w:rsidR="00574B28" w:rsidRDefault="005827AF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השימוש בפורטל הספקים מחויב לפי חוק. לא ניתן לפטור מהשימוש בו.</w:t>
            </w:r>
          </w:p>
          <w:p w14:paraId="722E764C" w14:textId="7D895601" w:rsidR="005827AF" w:rsidRPr="00F413CA" w:rsidRDefault="005827AF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אין להזין לפורטל מידע רגיש הנוגע לזהות הנבדקים או החקירה.</w:t>
            </w:r>
          </w:p>
        </w:tc>
      </w:tr>
      <w:tr w:rsidR="00574B28" w:rsidRPr="00115B08" w14:paraId="37DADEBE" w14:textId="77777777" w:rsidTr="00317FDA">
        <w:trPr>
          <w:cantSplit/>
        </w:trPr>
        <w:tc>
          <w:tcPr>
            <w:tcW w:w="477" w:type="pct"/>
            <w:vAlign w:val="center"/>
          </w:tcPr>
          <w:p w14:paraId="0E4D0602" w14:textId="7F712AA0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3BEC2536" w14:textId="77777777" w:rsidR="00574B2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12</w:t>
            </w:r>
          </w:p>
        </w:tc>
        <w:tc>
          <w:tcPr>
            <w:tcW w:w="616" w:type="pct"/>
            <w:vAlign w:val="center"/>
          </w:tcPr>
          <w:p w14:paraId="6D5C6214" w14:textId="77777777" w:rsidR="00574B2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5.2</w:t>
            </w:r>
          </w:p>
        </w:tc>
        <w:tc>
          <w:tcPr>
            <w:tcW w:w="1519" w:type="pct"/>
            <w:vAlign w:val="center"/>
          </w:tcPr>
          <w:p w14:paraId="0C2B94D3" w14:textId="77777777" w:rsidR="00574B28" w:rsidRP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>אם הספק הגיע למקום הבדיקה והמתין כשעתיים  ולבסוף לא בוצעה הבדיקה, האם לא מגיע תשלום מלא (בעיקר אם הבדיקה אינה סטנדרטית).</w:t>
            </w:r>
          </w:p>
        </w:tc>
        <w:tc>
          <w:tcPr>
            <w:tcW w:w="1772" w:type="pct"/>
          </w:tcPr>
          <w:p w14:paraId="7EF92A5B" w14:textId="2BBDAC59" w:rsidR="00574B28" w:rsidRPr="00F413CA" w:rsidRDefault="00316C17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אין שינוי במסמכי המכרז</w:t>
            </w:r>
          </w:p>
        </w:tc>
      </w:tr>
      <w:tr w:rsidR="00574B28" w:rsidRPr="00115B08" w14:paraId="263B8E5A" w14:textId="77777777" w:rsidTr="00317FDA">
        <w:trPr>
          <w:cantSplit/>
        </w:trPr>
        <w:tc>
          <w:tcPr>
            <w:tcW w:w="477" w:type="pct"/>
            <w:vAlign w:val="center"/>
          </w:tcPr>
          <w:p w14:paraId="629FF843" w14:textId="77777777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2E0408FE" w14:textId="77777777" w:rsidR="00574B2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12</w:t>
            </w:r>
          </w:p>
        </w:tc>
        <w:tc>
          <w:tcPr>
            <w:tcW w:w="616" w:type="pct"/>
            <w:vAlign w:val="center"/>
          </w:tcPr>
          <w:p w14:paraId="6BD9CC44" w14:textId="77777777" w:rsidR="00574B2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5.2.1</w:t>
            </w:r>
          </w:p>
        </w:tc>
        <w:tc>
          <w:tcPr>
            <w:tcW w:w="1519" w:type="pct"/>
            <w:vAlign w:val="center"/>
          </w:tcPr>
          <w:p w14:paraId="1D7E3E4C" w14:textId="77777777" w:rsidR="00574B28" w:rsidRP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 xml:space="preserve">אם הבדיקה דורשת נסיעה של מספר שעות הלוך ושוב, עם הזמנתה הספק צריך לבטל בהרבה מקרים יום עבודה (לא ניתן להזמין נבדקים כאשר נמצאים ב – </w:t>
            </w:r>
            <w:r w:rsidRPr="00574B28">
              <w:rPr>
                <w:rFonts w:ascii="David" w:hAnsi="David" w:cs="David"/>
                <w:sz w:val="22"/>
                <w:szCs w:val="22"/>
              </w:rPr>
              <w:t>stand by</w:t>
            </w:r>
            <w:r w:rsidRPr="00574B28">
              <w:rPr>
                <w:rFonts w:ascii="David" w:hAnsi="David" w:cs="David"/>
                <w:sz w:val="22"/>
                <w:szCs w:val="22"/>
                <w:rtl/>
              </w:rPr>
              <w:t>), אם הבדיקה בוטלה באותו היום דרוש פיצוי של לפחות 50%.</w:t>
            </w:r>
          </w:p>
        </w:tc>
        <w:tc>
          <w:tcPr>
            <w:tcW w:w="1772" w:type="pct"/>
          </w:tcPr>
          <w:p w14:paraId="0F28AB2D" w14:textId="77777777" w:rsidR="00574B28" w:rsidRPr="00F413CA" w:rsidRDefault="00574B28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אין שינוי במסמכי המכרז</w:t>
            </w:r>
          </w:p>
        </w:tc>
      </w:tr>
      <w:tr w:rsidR="00574B28" w:rsidRPr="00115B08" w14:paraId="5147977F" w14:textId="77777777" w:rsidTr="00317FDA">
        <w:trPr>
          <w:cantSplit/>
        </w:trPr>
        <w:tc>
          <w:tcPr>
            <w:tcW w:w="477" w:type="pct"/>
            <w:vAlign w:val="center"/>
          </w:tcPr>
          <w:p w14:paraId="55D0E497" w14:textId="77777777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49DE6326" w14:textId="77777777" w:rsidR="00574B2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21</w:t>
            </w:r>
          </w:p>
        </w:tc>
        <w:tc>
          <w:tcPr>
            <w:tcW w:w="616" w:type="pct"/>
            <w:vAlign w:val="center"/>
          </w:tcPr>
          <w:p w14:paraId="738E9107" w14:textId="77777777" w:rsidR="00574B2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1.3.1</w:t>
            </w:r>
          </w:p>
        </w:tc>
        <w:tc>
          <w:tcPr>
            <w:tcW w:w="1519" w:type="pct"/>
            <w:vAlign w:val="center"/>
          </w:tcPr>
          <w:p w14:paraId="3F5EACC8" w14:textId="77777777" w:rsidR="00574B28" w:rsidRP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>חוק שעות עבודה הוא בשעות 0800-1700, למה קובעים 12 שעות</w:t>
            </w:r>
          </w:p>
        </w:tc>
        <w:tc>
          <w:tcPr>
            <w:tcW w:w="1772" w:type="pct"/>
          </w:tcPr>
          <w:p w14:paraId="2E175C95" w14:textId="77777777" w:rsidR="00574B28" w:rsidRPr="00F413CA" w:rsidRDefault="00574B28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אין שינוי במסמכי המכרז</w:t>
            </w:r>
          </w:p>
        </w:tc>
      </w:tr>
      <w:tr w:rsidR="00574B28" w:rsidRPr="00115B08" w14:paraId="091B8C30" w14:textId="77777777" w:rsidTr="00317FDA">
        <w:trPr>
          <w:cantSplit/>
        </w:trPr>
        <w:tc>
          <w:tcPr>
            <w:tcW w:w="477" w:type="pct"/>
            <w:vAlign w:val="center"/>
          </w:tcPr>
          <w:p w14:paraId="428BB509" w14:textId="77777777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04ACE234" w14:textId="77777777" w:rsidR="00574B2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21</w:t>
            </w:r>
          </w:p>
        </w:tc>
        <w:tc>
          <w:tcPr>
            <w:tcW w:w="616" w:type="pct"/>
            <w:vAlign w:val="center"/>
          </w:tcPr>
          <w:p w14:paraId="776EA6C0" w14:textId="77777777" w:rsidR="00574B2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1.3.2.1</w:t>
            </w:r>
          </w:p>
        </w:tc>
        <w:tc>
          <w:tcPr>
            <w:tcW w:w="1519" w:type="pct"/>
            <w:vAlign w:val="center"/>
          </w:tcPr>
          <w:p w14:paraId="6B0006FD" w14:textId="77777777" w:rsidR="00574B28" w:rsidRP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צ</w:t>
            </w:r>
            <w:r w:rsidRPr="00574B28">
              <w:rPr>
                <w:rFonts w:ascii="David" w:hAnsi="David" w:cs="David"/>
                <w:sz w:val="22"/>
                <w:szCs w:val="22"/>
                <w:rtl/>
              </w:rPr>
              <w:t xml:space="preserve">ריך </w:t>
            </w:r>
            <w:proofErr w:type="spellStart"/>
            <w:r w:rsidRPr="00574B28">
              <w:rPr>
                <w:rFonts w:ascii="David" w:hAnsi="David" w:cs="David"/>
                <w:sz w:val="22"/>
                <w:szCs w:val="22"/>
                <w:rtl/>
              </w:rPr>
              <w:t>לדעתינו</w:t>
            </w:r>
            <w:proofErr w:type="spellEnd"/>
            <w:r w:rsidRPr="00574B28">
              <w:rPr>
                <w:rFonts w:ascii="David" w:hAnsi="David" w:cs="David"/>
                <w:sz w:val="22"/>
                <w:szCs w:val="22"/>
                <w:rtl/>
              </w:rPr>
              <w:t xml:space="preserve"> להיות משעה 1700</w:t>
            </w:r>
          </w:p>
        </w:tc>
        <w:tc>
          <w:tcPr>
            <w:tcW w:w="1772" w:type="pct"/>
          </w:tcPr>
          <w:p w14:paraId="7B18FFD5" w14:textId="77777777" w:rsidR="00574B28" w:rsidRPr="00F413CA" w:rsidRDefault="00574B28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אין שינוי במסמכי המכרז</w:t>
            </w:r>
          </w:p>
        </w:tc>
      </w:tr>
      <w:tr w:rsidR="00574B28" w:rsidRPr="00115B08" w14:paraId="10A98C09" w14:textId="77777777" w:rsidTr="00317FDA">
        <w:trPr>
          <w:cantSplit/>
        </w:trPr>
        <w:tc>
          <w:tcPr>
            <w:tcW w:w="477" w:type="pct"/>
            <w:vAlign w:val="center"/>
          </w:tcPr>
          <w:p w14:paraId="00DDC005" w14:textId="77777777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561C243B" w14:textId="77777777" w:rsidR="00574B2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21</w:t>
            </w:r>
          </w:p>
        </w:tc>
        <w:tc>
          <w:tcPr>
            <w:tcW w:w="616" w:type="pct"/>
            <w:vAlign w:val="center"/>
          </w:tcPr>
          <w:p w14:paraId="10A6CFEB" w14:textId="77777777" w:rsidR="00574B2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1.3.2.3</w:t>
            </w:r>
          </w:p>
        </w:tc>
        <w:tc>
          <w:tcPr>
            <w:tcW w:w="1519" w:type="pct"/>
            <w:vAlign w:val="center"/>
          </w:tcPr>
          <w:p w14:paraId="6A831933" w14:textId="77777777" w:rsid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>צריך להגדיר אזורים ומספר בדיקות בכל אזור (אזור המרכז, אזור הצפון, אזור הדרום, בדיקות במעברי גבול, בדיקות בבתי כלא וכד') ולא מרחק בק"מ.</w:t>
            </w:r>
          </w:p>
        </w:tc>
        <w:tc>
          <w:tcPr>
            <w:tcW w:w="1772" w:type="pct"/>
          </w:tcPr>
          <w:p w14:paraId="426AA786" w14:textId="77777777" w:rsidR="00574B28" w:rsidRPr="00F413CA" w:rsidRDefault="00574B28" w:rsidP="00C66370">
            <w:pPr>
              <w:rPr>
                <w:rFonts w:ascii="David" w:hAnsi="David" w:cs="David"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sz w:val="22"/>
                <w:szCs w:val="22"/>
                <w:rtl/>
              </w:rPr>
              <w:t>אין שינוי במסמכי המכרז</w:t>
            </w:r>
          </w:p>
        </w:tc>
      </w:tr>
      <w:tr w:rsidR="00574B28" w:rsidRPr="00115B08" w14:paraId="4CA0FA6E" w14:textId="77777777" w:rsidTr="00317FDA">
        <w:trPr>
          <w:cantSplit/>
        </w:trPr>
        <w:tc>
          <w:tcPr>
            <w:tcW w:w="477" w:type="pct"/>
            <w:vAlign w:val="center"/>
          </w:tcPr>
          <w:p w14:paraId="536DEC44" w14:textId="77777777" w:rsidR="00574B28" w:rsidRPr="003D35EA" w:rsidRDefault="00574B28" w:rsidP="00574B28">
            <w:pPr>
              <w:pStyle w:val="a4"/>
              <w:numPr>
                <w:ilvl w:val="0"/>
                <w:numId w:val="1"/>
              </w:numPr>
              <w:ind w:right="13"/>
              <w:rPr>
                <w:rFonts w:ascii="David" w:hAnsi="David" w:cs="David"/>
                <w:rtl/>
              </w:rPr>
            </w:pPr>
          </w:p>
        </w:tc>
        <w:tc>
          <w:tcPr>
            <w:tcW w:w="616" w:type="pct"/>
            <w:vAlign w:val="center"/>
          </w:tcPr>
          <w:p w14:paraId="3B0DD2FB" w14:textId="77777777" w:rsidR="00574B28" w:rsidRDefault="00574B28" w:rsidP="00C66370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28</w:t>
            </w:r>
          </w:p>
        </w:tc>
        <w:tc>
          <w:tcPr>
            <w:tcW w:w="616" w:type="pct"/>
            <w:vAlign w:val="center"/>
          </w:tcPr>
          <w:p w14:paraId="1C63BEB4" w14:textId="77777777" w:rsidR="00574B28" w:rsidRDefault="00574B28" w:rsidP="00C66370">
            <w:pPr>
              <w:ind w:left="3" w:hanging="3"/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>נספח ג' אבטחת מידע</w:t>
            </w:r>
          </w:p>
        </w:tc>
        <w:tc>
          <w:tcPr>
            <w:tcW w:w="1519" w:type="pct"/>
            <w:vAlign w:val="center"/>
          </w:tcPr>
          <w:p w14:paraId="3997B8DD" w14:textId="77777777" w:rsidR="00574B28" w:rsidRPr="00574B28" w:rsidRDefault="00574B28" w:rsidP="00574B28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574B28">
              <w:rPr>
                <w:rFonts w:ascii="David" w:hAnsi="David" w:cs="David"/>
                <w:sz w:val="22"/>
                <w:szCs w:val="22"/>
                <w:rtl/>
              </w:rPr>
              <w:t xml:space="preserve">כל הסעיף הוא מעל ומעבר לשימוש בבדיקות פוליגרף ודורש עלויות רבות מהספק, </w:t>
            </w:r>
            <w:proofErr w:type="spellStart"/>
            <w:r w:rsidRPr="00574B28">
              <w:rPr>
                <w:rFonts w:ascii="David" w:hAnsi="David" w:cs="David"/>
                <w:sz w:val="22"/>
                <w:szCs w:val="22"/>
                <w:rtl/>
              </w:rPr>
              <w:t>מומץ</w:t>
            </w:r>
            <w:proofErr w:type="spellEnd"/>
            <w:r w:rsidRPr="00574B28">
              <w:rPr>
                <w:rFonts w:ascii="David" w:hAnsi="David" w:cs="David"/>
                <w:sz w:val="22"/>
                <w:szCs w:val="22"/>
                <w:rtl/>
              </w:rPr>
              <w:t xml:space="preserve"> לבחון שנית את דרישות אבטחת המידע.</w:t>
            </w:r>
          </w:p>
        </w:tc>
        <w:tc>
          <w:tcPr>
            <w:tcW w:w="1772" w:type="pct"/>
          </w:tcPr>
          <w:p w14:paraId="082691D0" w14:textId="77777777" w:rsidR="00574B28" w:rsidRDefault="005827AF" w:rsidP="005827AF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ימחק </w:t>
            </w:r>
            <w:r w:rsidR="008E521D" w:rsidRPr="008E521D">
              <w:rPr>
                <w:rFonts w:ascii="David" w:hAnsi="David" w:cs="David" w:hint="cs"/>
                <w:sz w:val="22"/>
                <w:szCs w:val="22"/>
                <w:rtl/>
              </w:rPr>
              <w:t xml:space="preserve">סעיף </w:t>
            </w:r>
            <w:r w:rsidR="008E521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8E521D" w:rsidRPr="008E521D">
              <w:rPr>
                <w:rFonts w:ascii="David" w:hAnsi="David" w:cs="David" w:hint="cs"/>
                <w:sz w:val="22"/>
                <w:szCs w:val="22"/>
                <w:rtl/>
              </w:rPr>
              <w:t xml:space="preserve">1.3.3 </w:t>
            </w:r>
            <w:r w:rsidR="008E521D">
              <w:rPr>
                <w:rFonts w:ascii="David" w:hAnsi="David" w:cs="David" w:hint="cs"/>
                <w:sz w:val="22"/>
                <w:szCs w:val="22"/>
                <w:rtl/>
              </w:rPr>
              <w:t xml:space="preserve"> בלבד, </w:t>
            </w:r>
            <w:r w:rsidR="008E521D" w:rsidRPr="008E521D">
              <w:rPr>
                <w:rFonts w:ascii="David" w:hAnsi="David" w:cs="David" w:hint="cs"/>
                <w:sz w:val="22"/>
                <w:szCs w:val="22"/>
                <w:rtl/>
              </w:rPr>
              <w:t>"</w:t>
            </w:r>
            <w:r w:rsidR="008E521D" w:rsidRPr="008E521D">
              <w:rPr>
                <w:rFonts w:ascii="David" w:hAnsi="David" w:cs="David"/>
                <w:sz w:val="22"/>
                <w:szCs w:val="22"/>
                <w:rtl/>
              </w:rPr>
              <w:t>תקנים לסליקה של כרטיסי אשראי והנחיות רלוונטיות של המפקח על הבנקים וחברות כרטיסי האשראי</w:t>
            </w:r>
            <w:r w:rsidR="008E521D" w:rsidRPr="008E521D">
              <w:rPr>
                <w:rFonts w:ascii="David" w:hAnsi="David" w:cs="David" w:hint="cs"/>
                <w:sz w:val="22"/>
                <w:szCs w:val="22"/>
                <w:rtl/>
              </w:rPr>
              <w:t>"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  <w:p w14:paraId="0C9BB5FA" w14:textId="5540F1E4" w:rsidR="005827AF" w:rsidRPr="008E521D" w:rsidRDefault="005827AF" w:rsidP="005827AF">
            <w:pPr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יתר הנספח ללא שינוי.</w:t>
            </w:r>
          </w:p>
        </w:tc>
      </w:tr>
    </w:tbl>
    <w:p w14:paraId="1B7C2A88" w14:textId="77777777" w:rsidR="00ED2DE2" w:rsidRDefault="00ED2DE2">
      <w:pPr>
        <w:rPr>
          <w:rtl/>
        </w:rPr>
      </w:pPr>
    </w:p>
    <w:p w14:paraId="741194A0" w14:textId="207B94A7" w:rsidR="00ED2DE2" w:rsidRPr="00574B28" w:rsidRDefault="00ED2DE2" w:rsidP="00317FDA">
      <w:pPr>
        <w:jc w:val="right"/>
      </w:pPr>
      <w:r>
        <w:rPr>
          <w:rFonts w:hint="cs"/>
          <w:rtl/>
        </w:rPr>
        <w:t>ועדת המכרזים</w:t>
      </w:r>
    </w:p>
    <w:sectPr w:rsidR="00ED2DE2" w:rsidRPr="00574B28" w:rsidSect="001B09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DD0E2D"/>
    <w:multiLevelType w:val="hybridMultilevel"/>
    <w:tmpl w:val="7604094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>
    <w:nsid w:val="5AE66C10"/>
    <w:multiLevelType w:val="hybridMultilevel"/>
    <w:tmpl w:val="9FBCA0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E2A2226"/>
    <w:multiLevelType w:val="hybridMultilevel"/>
    <w:tmpl w:val="9FBCA0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B28"/>
    <w:rsid w:val="0006118C"/>
    <w:rsid w:val="001B09A5"/>
    <w:rsid w:val="00316C17"/>
    <w:rsid w:val="00317FDA"/>
    <w:rsid w:val="00551C18"/>
    <w:rsid w:val="00574B28"/>
    <w:rsid w:val="005827AF"/>
    <w:rsid w:val="008E521D"/>
    <w:rsid w:val="00ED2DE2"/>
    <w:rsid w:val="00FF5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97D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B28"/>
    <w:pPr>
      <w:bidi/>
      <w:spacing w:after="0" w:line="240" w:lineRule="auto"/>
    </w:pPr>
    <w:rPr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317FDA"/>
    <w:pPr>
      <w:keepNext/>
      <w:spacing w:before="240" w:after="60" w:line="276" w:lineRule="auto"/>
      <w:jc w:val="center"/>
      <w:outlineLvl w:val="1"/>
    </w:pPr>
    <w:rPr>
      <w:rFonts w:ascii="Cambria" w:eastAsia="Times New Roman" w:hAnsi="Cambria" w:cs="David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4B28"/>
    <w:pPr>
      <w:bidi/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74B28"/>
    <w:pPr>
      <w:ind w:left="720"/>
    </w:pPr>
    <w:rPr>
      <w:rFonts w:ascii="Calibri" w:hAnsi="Calibri" w:cs="Times New Roman"/>
      <w:sz w:val="22"/>
      <w:szCs w:val="22"/>
    </w:rPr>
  </w:style>
  <w:style w:type="character" w:styleId="a5">
    <w:name w:val="annotation reference"/>
    <w:basedOn w:val="a0"/>
    <w:uiPriority w:val="99"/>
    <w:semiHidden/>
    <w:unhideWhenUsed/>
    <w:rsid w:val="00574B2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574B28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574B28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74B28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574B28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74B28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74B28"/>
    <w:rPr>
      <w:rFonts w:ascii="Tahoma" w:hAnsi="Tahoma" w:cs="Tahoma"/>
      <w:sz w:val="18"/>
      <w:szCs w:val="18"/>
    </w:rPr>
  </w:style>
  <w:style w:type="character" w:customStyle="1" w:styleId="20">
    <w:name w:val="כותרת 2 תו"/>
    <w:basedOn w:val="a0"/>
    <w:link w:val="2"/>
    <w:uiPriority w:val="9"/>
    <w:rsid w:val="00317FDA"/>
    <w:rPr>
      <w:rFonts w:ascii="Cambria" w:eastAsia="Times New Roman" w:hAnsi="Cambria" w:cs="David"/>
      <w:b/>
      <w:bCs/>
      <w:sz w:val="28"/>
      <w:szCs w:val="28"/>
    </w:rPr>
  </w:style>
  <w:style w:type="paragraph" w:customStyle="1" w:styleId="NumberList0">
    <w:name w:val="Number List 0"/>
    <w:basedOn w:val="a"/>
    <w:rsid w:val="00317FDA"/>
    <w:pPr>
      <w:numPr>
        <w:numId w:val="3"/>
      </w:numPr>
      <w:spacing w:before="120" w:line="320" w:lineRule="exact"/>
      <w:jc w:val="both"/>
    </w:pPr>
    <w:rPr>
      <w:rFonts w:ascii="Times New Roman" w:eastAsia="Times New Roman" w:hAnsi="Times New Roman" w:cs="David"/>
      <w:lang w:eastAsia="he-IL"/>
    </w:rPr>
  </w:style>
  <w:style w:type="character" w:styleId="Hyperlink">
    <w:name w:val="Hyperlink"/>
    <w:uiPriority w:val="99"/>
    <w:unhideWhenUsed/>
    <w:rsid w:val="00317FD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B28"/>
    <w:pPr>
      <w:bidi/>
      <w:spacing w:after="0" w:line="240" w:lineRule="auto"/>
    </w:pPr>
    <w:rPr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317FDA"/>
    <w:pPr>
      <w:keepNext/>
      <w:spacing w:before="240" w:after="60" w:line="276" w:lineRule="auto"/>
      <w:jc w:val="center"/>
      <w:outlineLvl w:val="1"/>
    </w:pPr>
    <w:rPr>
      <w:rFonts w:ascii="Cambria" w:eastAsia="Times New Roman" w:hAnsi="Cambria" w:cs="David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4B28"/>
    <w:pPr>
      <w:bidi/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74B28"/>
    <w:pPr>
      <w:ind w:left="720"/>
    </w:pPr>
    <w:rPr>
      <w:rFonts w:ascii="Calibri" w:hAnsi="Calibri" w:cs="Times New Roman"/>
      <w:sz w:val="22"/>
      <w:szCs w:val="22"/>
    </w:rPr>
  </w:style>
  <w:style w:type="character" w:styleId="a5">
    <w:name w:val="annotation reference"/>
    <w:basedOn w:val="a0"/>
    <w:uiPriority w:val="99"/>
    <w:semiHidden/>
    <w:unhideWhenUsed/>
    <w:rsid w:val="00574B2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574B28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574B28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74B28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574B28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74B28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74B28"/>
    <w:rPr>
      <w:rFonts w:ascii="Tahoma" w:hAnsi="Tahoma" w:cs="Tahoma"/>
      <w:sz w:val="18"/>
      <w:szCs w:val="18"/>
    </w:rPr>
  </w:style>
  <w:style w:type="character" w:customStyle="1" w:styleId="20">
    <w:name w:val="כותרת 2 תו"/>
    <w:basedOn w:val="a0"/>
    <w:link w:val="2"/>
    <w:uiPriority w:val="9"/>
    <w:rsid w:val="00317FDA"/>
    <w:rPr>
      <w:rFonts w:ascii="Cambria" w:eastAsia="Times New Roman" w:hAnsi="Cambria" w:cs="David"/>
      <w:b/>
      <w:bCs/>
      <w:sz w:val="28"/>
      <w:szCs w:val="28"/>
    </w:rPr>
  </w:style>
  <w:style w:type="paragraph" w:customStyle="1" w:styleId="NumberList0">
    <w:name w:val="Number List 0"/>
    <w:basedOn w:val="a"/>
    <w:rsid w:val="00317FDA"/>
    <w:pPr>
      <w:numPr>
        <w:numId w:val="3"/>
      </w:numPr>
      <w:spacing w:before="120" w:line="320" w:lineRule="exact"/>
      <w:jc w:val="both"/>
    </w:pPr>
    <w:rPr>
      <w:rFonts w:ascii="Times New Roman" w:eastAsia="Times New Roman" w:hAnsi="Times New Roman" w:cs="David"/>
      <w:lang w:eastAsia="he-IL"/>
    </w:rPr>
  </w:style>
  <w:style w:type="character" w:styleId="Hyperlink">
    <w:name w:val="Hyperlink"/>
    <w:uiPriority w:val="99"/>
    <w:unhideWhenUsed/>
    <w:rsid w:val="00317FD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CC26EA-27EB-4A83-BE12-AC8480DFB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313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KGC</dc:creator>
  <cp:lastModifiedBy>Kinan Ganem</cp:lastModifiedBy>
  <cp:revision>4</cp:revision>
  <dcterms:created xsi:type="dcterms:W3CDTF">2019-01-31T11:46:00Z</dcterms:created>
  <dcterms:modified xsi:type="dcterms:W3CDTF">2019-02-10T11:17:00Z</dcterms:modified>
</cp:coreProperties>
</file>